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D06CD" w14:textId="77777777" w:rsidR="00BA4072" w:rsidRDefault="00BA4072"/>
    <w:p w14:paraId="770679FC" w14:textId="77777777" w:rsidR="00BA4072" w:rsidRDefault="00BA4072"/>
    <w:p w14:paraId="60139A71" w14:textId="04223BAD" w:rsidR="001778B7" w:rsidRPr="00BA4072" w:rsidRDefault="00345C8D" w:rsidP="00BA4072">
      <w:pPr>
        <w:jc w:val="center"/>
        <w:rPr>
          <w:rFonts w:ascii="Arial" w:hAnsi="Arial" w:cs="Arial"/>
          <w:b/>
          <w:sz w:val="28"/>
          <w:szCs w:val="28"/>
        </w:rPr>
      </w:pPr>
      <w:r w:rsidRPr="00BA4072">
        <w:rPr>
          <w:rFonts w:ascii="Arial" w:hAnsi="Arial" w:cs="Arial"/>
          <w:b/>
          <w:sz w:val="28"/>
          <w:szCs w:val="28"/>
        </w:rPr>
        <w:t>PROGRAMMAZIONE</w:t>
      </w:r>
      <w:r w:rsidR="00BA4072" w:rsidRPr="00BA4072">
        <w:rPr>
          <w:rFonts w:ascii="Arial" w:hAnsi="Arial" w:cs="Arial"/>
          <w:b/>
          <w:sz w:val="28"/>
          <w:szCs w:val="28"/>
        </w:rPr>
        <w:t xml:space="preserve"> </w:t>
      </w:r>
      <w:r w:rsidR="00BD3E13" w:rsidRPr="00BA4072">
        <w:rPr>
          <w:rFonts w:ascii="Arial" w:hAnsi="Arial" w:cs="Arial"/>
          <w:b/>
          <w:sz w:val="28"/>
          <w:szCs w:val="28"/>
        </w:rPr>
        <w:t>TECNICA PROFESSIONALE</w:t>
      </w:r>
    </w:p>
    <w:p w14:paraId="270CE8EB" w14:textId="11D2AF6C" w:rsidR="00BD3E13" w:rsidRPr="00BA4072" w:rsidRDefault="00BD3E13" w:rsidP="00BA4072">
      <w:pPr>
        <w:jc w:val="center"/>
        <w:rPr>
          <w:rFonts w:ascii="Arial" w:hAnsi="Arial" w:cs="Arial"/>
          <w:sz w:val="24"/>
          <w:szCs w:val="24"/>
        </w:rPr>
      </w:pPr>
      <w:r w:rsidRPr="00BA4072">
        <w:rPr>
          <w:rFonts w:ascii="Arial" w:hAnsi="Arial" w:cs="Arial"/>
          <w:sz w:val="24"/>
          <w:szCs w:val="24"/>
        </w:rPr>
        <w:t>Anno scolastico 2021/22</w:t>
      </w:r>
    </w:p>
    <w:p w14:paraId="5AA08DB0" w14:textId="016C6C97" w:rsidR="00BD3E13" w:rsidRPr="00BA4072" w:rsidRDefault="00BD3E13" w:rsidP="00BA4072">
      <w:pPr>
        <w:jc w:val="center"/>
        <w:rPr>
          <w:rFonts w:ascii="Arial" w:hAnsi="Arial" w:cs="Arial"/>
          <w:sz w:val="24"/>
          <w:szCs w:val="24"/>
        </w:rPr>
      </w:pPr>
      <w:r w:rsidRPr="00BA4072">
        <w:rPr>
          <w:rFonts w:ascii="Arial" w:hAnsi="Arial" w:cs="Arial"/>
          <w:sz w:val="24"/>
          <w:szCs w:val="24"/>
        </w:rPr>
        <w:t>Classe 2^BFL</w:t>
      </w:r>
    </w:p>
    <w:p w14:paraId="376D15CE" w14:textId="0617936E" w:rsidR="00BD3E13" w:rsidRPr="00BA4072" w:rsidRDefault="00BD3E13" w:rsidP="00BA4072">
      <w:pPr>
        <w:jc w:val="center"/>
        <w:rPr>
          <w:rFonts w:ascii="Arial" w:hAnsi="Arial" w:cs="Arial"/>
          <w:sz w:val="24"/>
          <w:szCs w:val="24"/>
        </w:rPr>
      </w:pPr>
      <w:r w:rsidRPr="00BA4072">
        <w:rPr>
          <w:rFonts w:ascii="Arial" w:hAnsi="Arial" w:cs="Arial"/>
          <w:sz w:val="24"/>
          <w:szCs w:val="24"/>
        </w:rPr>
        <w:t>Docenti: Prof. L. Cantalupo</w:t>
      </w:r>
      <w:r w:rsidR="00BA4072" w:rsidRPr="00BA4072">
        <w:rPr>
          <w:rFonts w:ascii="Arial" w:hAnsi="Arial" w:cs="Arial"/>
          <w:sz w:val="24"/>
          <w:szCs w:val="24"/>
        </w:rPr>
        <w:t xml:space="preserve">, </w:t>
      </w:r>
      <w:r w:rsidRPr="00BA4072">
        <w:rPr>
          <w:rFonts w:ascii="Arial" w:hAnsi="Arial" w:cs="Arial"/>
          <w:sz w:val="24"/>
          <w:szCs w:val="24"/>
        </w:rPr>
        <w:t>Prof. A. Perticaro</w:t>
      </w:r>
    </w:p>
    <w:p w14:paraId="675CE4B2" w14:textId="71BE67B0" w:rsidR="00BD3E13" w:rsidRDefault="00BD3E13"/>
    <w:p w14:paraId="309CC1C6" w14:textId="57534A74" w:rsidR="00BD3E13" w:rsidRPr="00BA4072" w:rsidRDefault="00BD3E13" w:rsidP="00BD3E13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A4072">
        <w:rPr>
          <w:rFonts w:ascii="Arial" w:hAnsi="Arial" w:cs="Arial"/>
          <w:b/>
          <w:sz w:val="24"/>
          <w:szCs w:val="24"/>
        </w:rPr>
        <w:t>Ripasso argomenti 1^anno</w:t>
      </w:r>
    </w:p>
    <w:p w14:paraId="315C3AC1" w14:textId="6987B030" w:rsidR="00BD3E13" w:rsidRPr="00BA4072" w:rsidRDefault="00BD3E13" w:rsidP="00BD3E13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A4072">
        <w:rPr>
          <w:rFonts w:ascii="Arial" w:hAnsi="Arial" w:cs="Arial"/>
          <w:sz w:val="24"/>
          <w:szCs w:val="24"/>
        </w:rPr>
        <w:t>Sistema Internazionale per l’unità di misura delle grandezze elettriche, multipli e sottomultipli di una grandezza, notazione scientifica</w:t>
      </w:r>
    </w:p>
    <w:p w14:paraId="17CFA65A" w14:textId="26A6E63E" w:rsidR="00BD3E13" w:rsidRPr="00BA4072" w:rsidRDefault="00BD3E13" w:rsidP="00BD3E13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A4072">
        <w:rPr>
          <w:rFonts w:ascii="Arial" w:hAnsi="Arial" w:cs="Arial"/>
          <w:sz w:val="24"/>
          <w:szCs w:val="24"/>
        </w:rPr>
        <w:t>Definizione e unità di misura di corrente, tensione, energia e potenza elettrica</w:t>
      </w:r>
    </w:p>
    <w:p w14:paraId="6BDB8DF2" w14:textId="6B2360C6" w:rsidR="00BD3E13" w:rsidRPr="00BA4072" w:rsidRDefault="00BD3E13" w:rsidP="00BD3E13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A4072">
        <w:rPr>
          <w:rFonts w:ascii="Arial" w:hAnsi="Arial" w:cs="Arial"/>
          <w:sz w:val="24"/>
          <w:szCs w:val="24"/>
        </w:rPr>
        <w:t>Definizione di resistenza elettrica, leggi di Ohm; resistenze in serie e parallelo</w:t>
      </w:r>
    </w:p>
    <w:p w14:paraId="7825E3FE" w14:textId="27CA6D87" w:rsidR="00BD3E13" w:rsidRPr="00BA4072" w:rsidRDefault="00BD3E13" w:rsidP="00BD3E13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A4072">
        <w:rPr>
          <w:rFonts w:ascii="Arial" w:hAnsi="Arial" w:cs="Arial"/>
          <w:sz w:val="24"/>
          <w:szCs w:val="24"/>
        </w:rPr>
        <w:t>Struttura di una rete elettrica; generatori e utilizzatori; nodi, rami e maglie</w:t>
      </w:r>
    </w:p>
    <w:p w14:paraId="1BD8AF02" w14:textId="40AC3000" w:rsidR="00BD3E13" w:rsidRPr="00BA4072" w:rsidRDefault="00BD3E13" w:rsidP="00BD3E13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A4072">
        <w:rPr>
          <w:rFonts w:ascii="Arial" w:hAnsi="Arial" w:cs="Arial"/>
          <w:sz w:val="24"/>
          <w:szCs w:val="24"/>
        </w:rPr>
        <w:t>Convenzioni sui segni</w:t>
      </w:r>
    </w:p>
    <w:p w14:paraId="28BA41C0" w14:textId="67ECCF32" w:rsidR="00BD3E13" w:rsidRPr="00BA4072" w:rsidRDefault="00BD3E13" w:rsidP="00BD3E13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A4072">
        <w:rPr>
          <w:rFonts w:ascii="Arial" w:hAnsi="Arial" w:cs="Arial"/>
          <w:sz w:val="24"/>
          <w:szCs w:val="24"/>
        </w:rPr>
        <w:t xml:space="preserve">Principi di </w:t>
      </w:r>
      <w:proofErr w:type="spellStart"/>
      <w:r w:rsidRPr="00BA4072">
        <w:rPr>
          <w:rFonts w:ascii="Arial" w:hAnsi="Arial" w:cs="Arial"/>
          <w:sz w:val="24"/>
          <w:szCs w:val="24"/>
        </w:rPr>
        <w:t>Kirchhoff</w:t>
      </w:r>
      <w:proofErr w:type="spellEnd"/>
    </w:p>
    <w:p w14:paraId="02D591C0" w14:textId="1C251D98" w:rsidR="00BD3E13" w:rsidRPr="00BA4072" w:rsidRDefault="00BD3E13" w:rsidP="00BD3E13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A4072">
        <w:rPr>
          <w:rFonts w:ascii="Arial" w:hAnsi="Arial" w:cs="Arial"/>
          <w:sz w:val="24"/>
          <w:szCs w:val="24"/>
        </w:rPr>
        <w:t>Metodi di risoluzione di semplici reti resistive</w:t>
      </w:r>
    </w:p>
    <w:p w14:paraId="56ED1DC5" w14:textId="77777777" w:rsidR="00BD3E13" w:rsidRPr="00BA4072" w:rsidRDefault="00BD3E13" w:rsidP="00BD3E13">
      <w:pPr>
        <w:pStyle w:val="Paragrafoelenco"/>
        <w:ind w:left="1440"/>
        <w:rPr>
          <w:rFonts w:ascii="Arial" w:hAnsi="Arial" w:cs="Arial"/>
          <w:sz w:val="24"/>
          <w:szCs w:val="24"/>
        </w:rPr>
      </w:pPr>
    </w:p>
    <w:p w14:paraId="2B39AC1A" w14:textId="0A962FFF" w:rsidR="00BD3E13" w:rsidRPr="00BA4072" w:rsidRDefault="00BD3E13" w:rsidP="00BD3E13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A4072">
        <w:rPr>
          <w:rFonts w:ascii="Arial" w:hAnsi="Arial" w:cs="Arial"/>
          <w:b/>
          <w:sz w:val="24"/>
          <w:szCs w:val="24"/>
        </w:rPr>
        <w:t>Reti in regime sinusoidale</w:t>
      </w:r>
    </w:p>
    <w:p w14:paraId="3EBBEE21" w14:textId="28B57034" w:rsidR="00345C8D" w:rsidRPr="00BA4072" w:rsidRDefault="00345C8D" w:rsidP="00345C8D">
      <w:pPr>
        <w:pStyle w:val="Paragrafoelenco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A4072">
        <w:rPr>
          <w:rFonts w:ascii="Arial" w:hAnsi="Arial" w:cs="Arial"/>
          <w:sz w:val="24"/>
          <w:szCs w:val="24"/>
        </w:rPr>
        <w:t>Richiami di trigonometria</w:t>
      </w:r>
    </w:p>
    <w:p w14:paraId="539E54CE" w14:textId="69F8A04A" w:rsidR="00345C8D" w:rsidRPr="00BA4072" w:rsidRDefault="00345C8D" w:rsidP="00345C8D">
      <w:pPr>
        <w:pStyle w:val="Paragrafoelenco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A4072">
        <w:rPr>
          <w:rFonts w:ascii="Arial" w:hAnsi="Arial" w:cs="Arial"/>
          <w:sz w:val="24"/>
          <w:szCs w:val="24"/>
        </w:rPr>
        <w:t>Vettori</w:t>
      </w:r>
    </w:p>
    <w:p w14:paraId="720B08C4" w14:textId="011A8331" w:rsidR="00345C8D" w:rsidRPr="00BA4072" w:rsidRDefault="00345C8D" w:rsidP="00345C8D">
      <w:pPr>
        <w:pStyle w:val="Paragrafoelenco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A4072">
        <w:rPr>
          <w:rFonts w:ascii="Arial" w:hAnsi="Arial" w:cs="Arial"/>
          <w:sz w:val="24"/>
          <w:szCs w:val="24"/>
        </w:rPr>
        <w:t>Numeri complessi</w:t>
      </w:r>
    </w:p>
    <w:p w14:paraId="7127A5F2" w14:textId="23837FB3" w:rsidR="00345C8D" w:rsidRPr="00BA4072" w:rsidRDefault="00345C8D" w:rsidP="00345C8D">
      <w:pPr>
        <w:pStyle w:val="Paragrafoelenco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A4072">
        <w:rPr>
          <w:rFonts w:ascii="Arial" w:hAnsi="Arial" w:cs="Arial"/>
          <w:sz w:val="24"/>
          <w:szCs w:val="24"/>
        </w:rPr>
        <w:t>Notazione simbolica, fasori</w:t>
      </w:r>
    </w:p>
    <w:p w14:paraId="06C6CA8D" w14:textId="107B3A96" w:rsidR="00345C8D" w:rsidRPr="00BA4072" w:rsidRDefault="00345C8D" w:rsidP="00345C8D">
      <w:pPr>
        <w:pStyle w:val="Paragrafoelenco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A4072">
        <w:rPr>
          <w:rFonts w:ascii="Arial" w:hAnsi="Arial" w:cs="Arial"/>
          <w:sz w:val="24"/>
          <w:szCs w:val="24"/>
        </w:rPr>
        <w:t>Grandezza periodica e grandezza alternata</w:t>
      </w:r>
    </w:p>
    <w:p w14:paraId="352CCF95" w14:textId="1353EB66" w:rsidR="00BD3E13" w:rsidRPr="00BA4072" w:rsidRDefault="00BD3E13" w:rsidP="00BD3E13">
      <w:pPr>
        <w:pStyle w:val="Paragrafoelenc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A4072">
        <w:rPr>
          <w:rFonts w:ascii="Arial" w:hAnsi="Arial" w:cs="Arial"/>
          <w:sz w:val="24"/>
          <w:szCs w:val="24"/>
        </w:rPr>
        <w:t>Sinusoide e parametri caratteristici</w:t>
      </w:r>
    </w:p>
    <w:p w14:paraId="6529A16D" w14:textId="7D43B88A" w:rsidR="00BD3E13" w:rsidRPr="00BA4072" w:rsidRDefault="00BD3E13" w:rsidP="00BD3E13">
      <w:pPr>
        <w:pStyle w:val="Paragrafoelenc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A4072">
        <w:rPr>
          <w:rFonts w:ascii="Arial" w:hAnsi="Arial" w:cs="Arial"/>
          <w:sz w:val="24"/>
          <w:szCs w:val="24"/>
        </w:rPr>
        <w:t>Reattanza e impedenza</w:t>
      </w:r>
    </w:p>
    <w:p w14:paraId="2A0B8390" w14:textId="3503B8AE" w:rsidR="00345C8D" w:rsidRPr="00BA4072" w:rsidRDefault="00345C8D" w:rsidP="00BD3E13">
      <w:pPr>
        <w:pStyle w:val="Paragrafoelenc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A4072">
        <w:rPr>
          <w:rFonts w:ascii="Arial" w:hAnsi="Arial" w:cs="Arial"/>
          <w:sz w:val="24"/>
          <w:szCs w:val="24"/>
        </w:rPr>
        <w:t>Sfasamento tensione/corrente</w:t>
      </w:r>
    </w:p>
    <w:p w14:paraId="6AD0AE45" w14:textId="52D420C8" w:rsidR="00345C8D" w:rsidRPr="00BA4072" w:rsidRDefault="00345C8D" w:rsidP="00BD3E13">
      <w:pPr>
        <w:pStyle w:val="Paragrafoelenc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A4072">
        <w:rPr>
          <w:rFonts w:ascii="Arial" w:hAnsi="Arial" w:cs="Arial"/>
          <w:sz w:val="24"/>
          <w:szCs w:val="24"/>
        </w:rPr>
        <w:t>Circuiti elementari: circuito puramente resistivo R, circuito puramente induttivo L, circuito puramente capacitivo C; circuiti reali RL in serie, RC in serie, RLC in serie</w:t>
      </w:r>
    </w:p>
    <w:p w14:paraId="389C4D38" w14:textId="423E417A" w:rsidR="00345C8D" w:rsidRPr="00BA4072" w:rsidRDefault="00345C8D" w:rsidP="00BD3E13">
      <w:pPr>
        <w:pStyle w:val="Paragrafoelenc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A4072">
        <w:rPr>
          <w:rFonts w:ascii="Arial" w:hAnsi="Arial" w:cs="Arial"/>
          <w:sz w:val="24"/>
          <w:szCs w:val="24"/>
        </w:rPr>
        <w:t>Risoluzione di semplici reti RLC serie</w:t>
      </w:r>
    </w:p>
    <w:p w14:paraId="6962B976" w14:textId="77777777" w:rsidR="00345C8D" w:rsidRPr="00BA4072" w:rsidRDefault="00345C8D" w:rsidP="00345C8D">
      <w:pPr>
        <w:pStyle w:val="Paragrafoelenco"/>
        <w:ind w:left="1440"/>
        <w:rPr>
          <w:rFonts w:ascii="Arial" w:hAnsi="Arial" w:cs="Arial"/>
          <w:sz w:val="24"/>
          <w:szCs w:val="24"/>
        </w:rPr>
      </w:pPr>
    </w:p>
    <w:p w14:paraId="5775BF1C" w14:textId="2B4A6A93" w:rsidR="00345C8D" w:rsidRPr="00BA4072" w:rsidRDefault="00345C8D" w:rsidP="00345C8D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A4072">
        <w:rPr>
          <w:rFonts w:ascii="Arial" w:hAnsi="Arial" w:cs="Arial"/>
          <w:b/>
          <w:sz w:val="24"/>
          <w:szCs w:val="24"/>
        </w:rPr>
        <w:t>Potenze in regime sinusoidale</w:t>
      </w:r>
    </w:p>
    <w:p w14:paraId="60E7554E" w14:textId="0AECB658" w:rsidR="00345C8D" w:rsidRPr="00BA4072" w:rsidRDefault="00345C8D" w:rsidP="00345C8D">
      <w:pPr>
        <w:pStyle w:val="Paragrafoelenc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A4072">
        <w:rPr>
          <w:rFonts w:ascii="Arial" w:hAnsi="Arial" w:cs="Arial"/>
          <w:sz w:val="24"/>
          <w:szCs w:val="24"/>
        </w:rPr>
        <w:t>Definizione di potenza elettrica istantanea, attiva, reattiva, apparente</w:t>
      </w:r>
    </w:p>
    <w:p w14:paraId="4C38B308" w14:textId="361BF4DC" w:rsidR="00345C8D" w:rsidRPr="00BA4072" w:rsidRDefault="00345C8D" w:rsidP="00345C8D">
      <w:pPr>
        <w:pStyle w:val="Paragrafoelenc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A4072">
        <w:rPr>
          <w:rFonts w:ascii="Arial" w:hAnsi="Arial" w:cs="Arial"/>
          <w:sz w:val="24"/>
          <w:szCs w:val="24"/>
        </w:rPr>
        <w:t>Triangolo delle potenze</w:t>
      </w:r>
    </w:p>
    <w:p w14:paraId="698D59CF" w14:textId="54B8EBD5" w:rsidR="00345C8D" w:rsidRPr="00BA4072" w:rsidRDefault="00345C8D" w:rsidP="00345C8D">
      <w:pPr>
        <w:pStyle w:val="Paragrafoelenc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A4072">
        <w:rPr>
          <w:rFonts w:ascii="Arial" w:hAnsi="Arial" w:cs="Arial"/>
          <w:sz w:val="24"/>
          <w:szCs w:val="24"/>
        </w:rPr>
        <w:t>Fattore di potenza</w:t>
      </w:r>
    </w:p>
    <w:p w14:paraId="6A4566AF" w14:textId="553C286A" w:rsidR="00345C8D" w:rsidRPr="00BA4072" w:rsidRDefault="00345C8D" w:rsidP="00345C8D">
      <w:pPr>
        <w:pStyle w:val="Paragrafoelenc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A4072">
        <w:rPr>
          <w:rFonts w:ascii="Arial" w:hAnsi="Arial" w:cs="Arial"/>
          <w:sz w:val="24"/>
          <w:szCs w:val="24"/>
        </w:rPr>
        <w:t xml:space="preserve">Teorema di </w:t>
      </w:r>
      <w:proofErr w:type="spellStart"/>
      <w:r w:rsidRPr="00BA4072">
        <w:rPr>
          <w:rFonts w:ascii="Arial" w:hAnsi="Arial" w:cs="Arial"/>
          <w:sz w:val="24"/>
          <w:szCs w:val="24"/>
        </w:rPr>
        <w:t>Boucherot</w:t>
      </w:r>
      <w:proofErr w:type="spellEnd"/>
    </w:p>
    <w:p w14:paraId="7FE742C5" w14:textId="680FE798" w:rsidR="00345C8D" w:rsidRPr="00BA4072" w:rsidRDefault="00345C8D" w:rsidP="00345C8D">
      <w:pPr>
        <w:pStyle w:val="Paragrafoelenc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A4072">
        <w:rPr>
          <w:rFonts w:ascii="Arial" w:hAnsi="Arial" w:cs="Arial"/>
          <w:sz w:val="24"/>
          <w:szCs w:val="24"/>
        </w:rPr>
        <w:t>Linee elettriche</w:t>
      </w:r>
    </w:p>
    <w:p w14:paraId="4E65B37D" w14:textId="734FD474" w:rsidR="00345C8D" w:rsidRPr="00BA4072" w:rsidRDefault="00345C8D" w:rsidP="00345C8D">
      <w:pPr>
        <w:pStyle w:val="Paragrafoelenc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A4072">
        <w:rPr>
          <w:rFonts w:ascii="Arial" w:hAnsi="Arial" w:cs="Arial"/>
          <w:sz w:val="24"/>
          <w:szCs w:val="24"/>
        </w:rPr>
        <w:t>Rifasamento</w:t>
      </w:r>
    </w:p>
    <w:p w14:paraId="2B2D7960" w14:textId="77777777" w:rsidR="00345C8D" w:rsidRPr="00BA4072" w:rsidRDefault="00345C8D" w:rsidP="00345C8D">
      <w:pPr>
        <w:pStyle w:val="Paragrafoelenco"/>
        <w:ind w:left="1440"/>
        <w:rPr>
          <w:rFonts w:ascii="Arial" w:hAnsi="Arial" w:cs="Arial"/>
          <w:sz w:val="24"/>
          <w:szCs w:val="24"/>
        </w:rPr>
      </w:pPr>
    </w:p>
    <w:p w14:paraId="7E69FCCD" w14:textId="6BBC4FDF" w:rsidR="00345C8D" w:rsidRPr="00BA4072" w:rsidRDefault="00345C8D" w:rsidP="00345C8D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A4072">
        <w:rPr>
          <w:rFonts w:ascii="Arial" w:hAnsi="Arial" w:cs="Arial"/>
          <w:b/>
          <w:sz w:val="24"/>
          <w:szCs w:val="24"/>
        </w:rPr>
        <w:t>Richiami di elettromagnetismo</w:t>
      </w:r>
    </w:p>
    <w:p w14:paraId="32510471" w14:textId="5458E1C3" w:rsidR="00345C8D" w:rsidRPr="00BA4072" w:rsidRDefault="00913E46" w:rsidP="00345C8D">
      <w:pPr>
        <w:pStyle w:val="Paragrafoelenc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A4072">
        <w:rPr>
          <w:rFonts w:ascii="Arial" w:hAnsi="Arial" w:cs="Arial"/>
          <w:sz w:val="24"/>
          <w:szCs w:val="24"/>
        </w:rPr>
        <w:t>Campo elettrico e magnetico, grandezze</w:t>
      </w:r>
      <w:r w:rsidR="002A0286" w:rsidRPr="00BA4072">
        <w:rPr>
          <w:rFonts w:ascii="Arial" w:hAnsi="Arial" w:cs="Arial"/>
          <w:sz w:val="24"/>
          <w:szCs w:val="24"/>
        </w:rPr>
        <w:t xml:space="preserve"> elettriche e magnetiche e loro unità di misura</w:t>
      </w:r>
    </w:p>
    <w:p w14:paraId="70D9CAF5" w14:textId="70669A4D" w:rsidR="002A0286" w:rsidRPr="00BA4072" w:rsidRDefault="002A0286" w:rsidP="00345C8D">
      <w:pPr>
        <w:pStyle w:val="Paragrafoelenc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A4072">
        <w:rPr>
          <w:rFonts w:ascii="Arial" w:hAnsi="Arial" w:cs="Arial"/>
          <w:sz w:val="24"/>
          <w:szCs w:val="24"/>
        </w:rPr>
        <w:t>Linee di forza e flusso del campo elettrico e del campo magnetico, unità di misura del flusso</w:t>
      </w:r>
    </w:p>
    <w:p w14:paraId="2B3A7AFA" w14:textId="7D3557BC" w:rsidR="002A0286" w:rsidRPr="00BA4072" w:rsidRDefault="002A0286" w:rsidP="00345C8D">
      <w:pPr>
        <w:pStyle w:val="Paragrafoelenc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A4072">
        <w:rPr>
          <w:rFonts w:ascii="Arial" w:hAnsi="Arial" w:cs="Arial"/>
          <w:sz w:val="24"/>
          <w:szCs w:val="24"/>
        </w:rPr>
        <w:t>Induzione elettromagnetica</w:t>
      </w:r>
    </w:p>
    <w:p w14:paraId="0273B72B" w14:textId="752C017F" w:rsidR="002A0286" w:rsidRPr="00BA4072" w:rsidRDefault="002A0286" w:rsidP="00345C8D">
      <w:pPr>
        <w:pStyle w:val="Paragrafoelenc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 w:rsidRPr="00BA4072">
        <w:rPr>
          <w:rFonts w:ascii="Arial" w:hAnsi="Arial" w:cs="Arial"/>
          <w:sz w:val="24"/>
          <w:szCs w:val="24"/>
        </w:rPr>
        <w:t>Fem</w:t>
      </w:r>
      <w:proofErr w:type="spellEnd"/>
      <w:r w:rsidRPr="00BA4072">
        <w:rPr>
          <w:rFonts w:ascii="Arial" w:hAnsi="Arial" w:cs="Arial"/>
          <w:sz w:val="24"/>
          <w:szCs w:val="24"/>
        </w:rPr>
        <w:t xml:space="preserve"> indotta in un conduttore rettilineo</w:t>
      </w:r>
    </w:p>
    <w:p w14:paraId="34426CAF" w14:textId="13872713" w:rsidR="002A0286" w:rsidRPr="00BA4072" w:rsidRDefault="002A0286" w:rsidP="00345C8D">
      <w:pPr>
        <w:pStyle w:val="Paragrafoelenc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A4072">
        <w:rPr>
          <w:rFonts w:ascii="Arial" w:hAnsi="Arial" w:cs="Arial"/>
          <w:sz w:val="24"/>
          <w:szCs w:val="24"/>
        </w:rPr>
        <w:t>Campo magnetico prodotto da un filo rettilineo, una spira e una bobina</w:t>
      </w:r>
    </w:p>
    <w:p w14:paraId="42F2CB29" w14:textId="3302FC67" w:rsidR="002A0286" w:rsidRPr="00BA4072" w:rsidRDefault="002A0286" w:rsidP="00345C8D">
      <w:pPr>
        <w:pStyle w:val="Paragrafoelenc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A4072">
        <w:rPr>
          <w:rFonts w:ascii="Arial" w:hAnsi="Arial" w:cs="Arial"/>
          <w:sz w:val="24"/>
          <w:szCs w:val="24"/>
        </w:rPr>
        <w:t>Legge di Biot-</w:t>
      </w:r>
      <w:proofErr w:type="spellStart"/>
      <w:r w:rsidRPr="00BA4072">
        <w:rPr>
          <w:rFonts w:ascii="Arial" w:hAnsi="Arial" w:cs="Arial"/>
          <w:sz w:val="24"/>
          <w:szCs w:val="24"/>
        </w:rPr>
        <w:t>Savart</w:t>
      </w:r>
      <w:proofErr w:type="spellEnd"/>
    </w:p>
    <w:p w14:paraId="2F8B34BA" w14:textId="7E3E607C" w:rsidR="002A0286" w:rsidRPr="00BA4072" w:rsidRDefault="002A0286" w:rsidP="00345C8D">
      <w:pPr>
        <w:pStyle w:val="Paragrafoelenc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A4072">
        <w:rPr>
          <w:rFonts w:ascii="Arial" w:hAnsi="Arial" w:cs="Arial"/>
          <w:sz w:val="24"/>
          <w:szCs w:val="24"/>
        </w:rPr>
        <w:t>Legge di Ampere, forza generata da due fili rettilinei percorsi da corrente</w:t>
      </w:r>
    </w:p>
    <w:p w14:paraId="1762B090" w14:textId="3A086178" w:rsidR="002A0286" w:rsidRPr="00BA4072" w:rsidRDefault="002A0286" w:rsidP="00345C8D">
      <w:pPr>
        <w:pStyle w:val="Paragrafoelenc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A4072">
        <w:rPr>
          <w:rFonts w:ascii="Arial" w:hAnsi="Arial" w:cs="Arial"/>
          <w:sz w:val="24"/>
          <w:szCs w:val="24"/>
        </w:rPr>
        <w:t>Legge di Faraday-Neumann-</w:t>
      </w:r>
      <w:proofErr w:type="spellStart"/>
      <w:r w:rsidRPr="00BA4072">
        <w:rPr>
          <w:rFonts w:ascii="Arial" w:hAnsi="Arial" w:cs="Arial"/>
          <w:sz w:val="24"/>
          <w:szCs w:val="24"/>
        </w:rPr>
        <w:t>Lenz</w:t>
      </w:r>
      <w:proofErr w:type="spellEnd"/>
    </w:p>
    <w:p w14:paraId="6E900C23" w14:textId="785F7F2C" w:rsidR="002A0286" w:rsidRPr="00BA4072" w:rsidRDefault="002A0286" w:rsidP="00345C8D">
      <w:pPr>
        <w:pStyle w:val="Paragrafoelenc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A4072">
        <w:rPr>
          <w:rFonts w:ascii="Arial" w:hAnsi="Arial" w:cs="Arial"/>
          <w:sz w:val="24"/>
          <w:szCs w:val="24"/>
        </w:rPr>
        <w:t>Correnti parassite</w:t>
      </w:r>
    </w:p>
    <w:p w14:paraId="029EBF50" w14:textId="36140B8A" w:rsidR="002A0286" w:rsidRPr="00BA4072" w:rsidRDefault="002A0286" w:rsidP="00345C8D">
      <w:pPr>
        <w:pStyle w:val="Paragrafoelenc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A4072">
        <w:rPr>
          <w:rFonts w:ascii="Arial" w:hAnsi="Arial" w:cs="Arial"/>
          <w:sz w:val="24"/>
          <w:szCs w:val="24"/>
        </w:rPr>
        <w:t>Forze elettromagnetiche</w:t>
      </w:r>
    </w:p>
    <w:p w14:paraId="3A0B7763" w14:textId="77777777" w:rsidR="002A0286" w:rsidRPr="00BA4072" w:rsidRDefault="002A0286" w:rsidP="002A0286">
      <w:pPr>
        <w:ind w:left="1080"/>
        <w:rPr>
          <w:rFonts w:ascii="Arial" w:hAnsi="Arial" w:cs="Arial"/>
          <w:sz w:val="24"/>
          <w:szCs w:val="24"/>
        </w:rPr>
      </w:pPr>
    </w:p>
    <w:p w14:paraId="456C2B2F" w14:textId="77777777" w:rsidR="00345C8D" w:rsidRPr="00BA4072" w:rsidRDefault="00345C8D" w:rsidP="00345C8D">
      <w:pPr>
        <w:pStyle w:val="Paragrafoelenco"/>
        <w:ind w:left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45C8D" w:rsidRPr="00BA407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F2C5B" w14:textId="77777777" w:rsidR="00AB7685" w:rsidRDefault="00AB7685" w:rsidP="00BA4072">
      <w:pPr>
        <w:spacing w:after="0" w:line="240" w:lineRule="auto"/>
      </w:pPr>
      <w:r>
        <w:separator/>
      </w:r>
    </w:p>
  </w:endnote>
  <w:endnote w:type="continuationSeparator" w:id="0">
    <w:p w14:paraId="5D610FC8" w14:textId="77777777" w:rsidR="00AB7685" w:rsidRDefault="00AB7685" w:rsidP="00BA4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7505D" w14:textId="77777777" w:rsidR="00AB7685" w:rsidRDefault="00AB7685" w:rsidP="00BA4072">
      <w:pPr>
        <w:spacing w:after="0" w:line="240" w:lineRule="auto"/>
      </w:pPr>
      <w:r>
        <w:separator/>
      </w:r>
    </w:p>
  </w:footnote>
  <w:footnote w:type="continuationSeparator" w:id="0">
    <w:p w14:paraId="7FC2FF0E" w14:textId="77777777" w:rsidR="00AB7685" w:rsidRDefault="00AB7685" w:rsidP="00BA4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55889" w14:textId="6C8737A6" w:rsidR="00BA4072" w:rsidRDefault="00BA4072">
    <w:pPr>
      <w:pStyle w:val="Intestazione"/>
    </w:pPr>
    <w:r w:rsidRPr="0016391D">
      <w:rPr>
        <w:noProof/>
        <w:lang w:eastAsia="it-IT"/>
      </w:rPr>
      <w:drawing>
        <wp:inline distT="0" distB="0" distL="0" distR="0" wp14:anchorId="1A6EBD2A" wp14:editId="255BB06D">
          <wp:extent cx="6118860" cy="82296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20EE0"/>
    <w:multiLevelType w:val="hybridMultilevel"/>
    <w:tmpl w:val="D94025D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C061DE"/>
    <w:multiLevelType w:val="hybridMultilevel"/>
    <w:tmpl w:val="9DC2B81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934519"/>
    <w:multiLevelType w:val="hybridMultilevel"/>
    <w:tmpl w:val="451220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AA23EC"/>
    <w:multiLevelType w:val="hybridMultilevel"/>
    <w:tmpl w:val="A9BE6E3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FE7858"/>
    <w:multiLevelType w:val="hybridMultilevel"/>
    <w:tmpl w:val="BE4025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32A41"/>
    <w:multiLevelType w:val="hybridMultilevel"/>
    <w:tmpl w:val="58DAFA8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0C0"/>
    <w:rsid w:val="001730C0"/>
    <w:rsid w:val="001778B7"/>
    <w:rsid w:val="002A0286"/>
    <w:rsid w:val="00345C8D"/>
    <w:rsid w:val="00913E46"/>
    <w:rsid w:val="00AB7685"/>
    <w:rsid w:val="00BA4072"/>
    <w:rsid w:val="00BD3E13"/>
    <w:rsid w:val="00C3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78391"/>
  <w15:chartTrackingRefBased/>
  <w15:docId w15:val="{0B950CD8-C0BA-41DE-9BBA-91B7BD60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3E1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A40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4072"/>
  </w:style>
  <w:style w:type="paragraph" w:styleId="Pidipagina">
    <w:name w:val="footer"/>
    <w:basedOn w:val="Normale"/>
    <w:link w:val="PidipaginaCarattere"/>
    <w:uiPriority w:val="99"/>
    <w:unhideWhenUsed/>
    <w:rsid w:val="00BA40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4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Cantalupo Luca</dc:creator>
  <cp:keywords/>
  <dc:description/>
  <cp:lastModifiedBy>Cantalupo Luca</cp:lastModifiedBy>
  <cp:revision>5</cp:revision>
  <dcterms:created xsi:type="dcterms:W3CDTF">2021-10-07T09:12:00Z</dcterms:created>
  <dcterms:modified xsi:type="dcterms:W3CDTF">2021-10-07T09:22:00Z</dcterms:modified>
</cp:coreProperties>
</file>